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505DB6" w14:textId="4CA9349C" w:rsidR="003606F9" w:rsidRDefault="002859C1" w:rsidP="00193668">
      <w:pPr>
        <w:jc w:val="center"/>
      </w:pPr>
      <w:r>
        <w:t>Perovskite</w:t>
      </w:r>
      <w:r w:rsidR="00193668">
        <w:t xml:space="preserve"> solar cell in China</w:t>
      </w:r>
    </w:p>
    <w:p w14:paraId="125419DE" w14:textId="7692E634" w:rsidR="00036CAC" w:rsidRDefault="00242E33" w:rsidP="00036CAC">
      <w:pPr>
        <w:rPr>
          <w:i/>
          <w:iCs/>
        </w:rPr>
      </w:pPr>
      <w:r>
        <w:rPr>
          <w:i/>
          <w:iCs/>
        </w:rPr>
        <w:t>Introducing solar cell</w:t>
      </w:r>
    </w:p>
    <w:p w14:paraId="7C9643CF" w14:textId="147CD9EB" w:rsidR="00242E33" w:rsidRDefault="00C356A6" w:rsidP="00036CAC">
      <w:r>
        <w:tab/>
        <w:t xml:space="preserve">Solar cell is a device that can directly converts solar energy into electrical energy. </w:t>
      </w:r>
      <w:r w:rsidR="007D3C87">
        <w:t>A basic structure for</w:t>
      </w:r>
      <w:r w:rsidR="0023467D">
        <w:t xml:space="preserve"> a solar cell can be</w:t>
      </w:r>
      <w:r w:rsidR="00C801FC">
        <w:t xml:space="preserve"> </w:t>
      </w:r>
      <w:r w:rsidR="00116BB8">
        <w:t xml:space="preserve">demonstrated in Figure 1. </w:t>
      </w:r>
    </w:p>
    <w:p w14:paraId="14C0B8E2" w14:textId="59940C96" w:rsidR="005D5491" w:rsidRDefault="005D5491" w:rsidP="00036CAC">
      <w:r>
        <w:tab/>
      </w:r>
      <w:r>
        <w:rPr>
          <w:noProof/>
        </w:rPr>
        <w:drawing>
          <wp:inline distT="0" distB="0" distL="0" distR="0" wp14:anchorId="376AFD74" wp14:editId="14FA18BF">
            <wp:extent cx="3505200" cy="2366384"/>
            <wp:effectExtent l="0" t="0" r="0" b="0"/>
            <wp:docPr id="1" name="Picture 1" descr="Schematic of the basic structure of a silicon solar cel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matic of the basic structure of a silicon solar cell. | Download  Scientific Diagram"/>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511090" cy="2370361"/>
                    </a:xfrm>
                    <a:prstGeom prst="rect">
                      <a:avLst/>
                    </a:prstGeom>
                    <a:noFill/>
                    <a:ln>
                      <a:noFill/>
                    </a:ln>
                  </pic:spPr>
                </pic:pic>
              </a:graphicData>
            </a:graphic>
          </wp:inline>
        </w:drawing>
      </w:r>
    </w:p>
    <w:p w14:paraId="1FB3AEFC" w14:textId="1836E524" w:rsidR="005D5491" w:rsidRDefault="005D5491" w:rsidP="00036CAC">
      <w:r>
        <w:t xml:space="preserve">Figure 1. Schematic </w:t>
      </w:r>
      <w:r w:rsidR="00017504">
        <w:t xml:space="preserve">drawing of </w:t>
      </w:r>
      <w:r w:rsidR="00D72FB4">
        <w:t xml:space="preserve">a </w:t>
      </w:r>
      <w:r w:rsidR="00925FDC">
        <w:t xml:space="preserve">silicon </w:t>
      </w:r>
      <w:r w:rsidR="00D72FB4">
        <w:t>solar cell.</w:t>
      </w:r>
    </w:p>
    <w:p w14:paraId="1AF43919" w14:textId="45D52545" w:rsidR="00925FDC" w:rsidRPr="0086738D" w:rsidRDefault="0018688C" w:rsidP="0086738D">
      <w:pPr>
        <w:pStyle w:val="Default"/>
        <w:spacing w:line="360" w:lineRule="auto"/>
        <w:ind w:firstLine="720"/>
        <w:contextualSpacing/>
        <w:rPr>
          <w:rFonts w:ascii="Times New Roman" w:hAnsi="Times New Roman" w:cs="Times New Roman"/>
        </w:rPr>
      </w:pPr>
      <w:r w:rsidRPr="007363A6">
        <w:rPr>
          <w:rFonts w:ascii="Times New Roman" w:hAnsi="Times New Roman" w:cs="Times New Roman"/>
          <w:color w:val="222222"/>
          <w:shd w:val="clear" w:color="auto" w:fill="FFFFFF"/>
        </w:rPr>
        <w:t xml:space="preserve">Usually, the n-type is made the emitter layer receiving sunlight. When the emitter layer absorbs enough solar energy greater than the bandgap </w:t>
      </w:r>
      <w:proofErr w:type="gramStart"/>
      <w:r w:rsidRPr="007363A6">
        <w:rPr>
          <w:rFonts w:ascii="Times New Roman" w:hAnsi="Times New Roman" w:cs="Times New Roman"/>
          <w:color w:val="222222"/>
          <w:shd w:val="clear" w:color="auto" w:fill="FFFFFF"/>
        </w:rPr>
        <w:t xml:space="preserve">energy, </w:t>
      </w:r>
      <w:r w:rsidRPr="007363A6">
        <w:rPr>
          <w:rFonts w:ascii="Times New Roman" w:hAnsi="Times New Roman" w:cs="Times New Roman"/>
        </w:rPr>
        <w:t xml:space="preserve"> some</w:t>
      </w:r>
      <w:proofErr w:type="gramEnd"/>
      <w:r w:rsidRPr="007363A6">
        <w:rPr>
          <w:rFonts w:ascii="Times New Roman" w:hAnsi="Times New Roman" w:cs="Times New Roman"/>
        </w:rPr>
        <w:t xml:space="preserve"> of the electrons in the valence band will jump to the conduction band and leave a hole behind, creating an electron-hole pair. When the pair gets close to the depletion region, the hole will get swept across the junction by the electric field while the electron will be pushed away and travel to the load through the metal contact (Figure 2). This process is called collection. The two carriers will meet and recombine at the rear contact, after which the circuit has been completed.</w:t>
      </w:r>
    </w:p>
    <w:p w14:paraId="7313BBCA" w14:textId="4D625F33" w:rsidR="002859C1" w:rsidRDefault="007071A4" w:rsidP="00193668">
      <w:pPr>
        <w:jc w:val="center"/>
      </w:pPr>
      <w:r w:rsidRPr="007363A6">
        <w:rPr>
          <w:rFonts w:ascii="Times New Roman" w:hAnsi="Times New Roman" w:cs="Times New Roman"/>
          <w:noProof/>
          <w:sz w:val="24"/>
          <w:szCs w:val="24"/>
        </w:rPr>
        <w:drawing>
          <wp:inline distT="0" distB="0" distL="0" distR="0" wp14:anchorId="1C991D34" wp14:editId="39021108">
            <wp:extent cx="2439837" cy="1927860"/>
            <wp:effectExtent l="0" t="0" r="0" b="0"/>
            <wp:docPr id="27" name="Picture 27"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histo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49760" cy="1935700"/>
                    </a:xfrm>
                    <a:prstGeom prst="rect">
                      <a:avLst/>
                    </a:prstGeom>
                    <a:noFill/>
                    <a:ln>
                      <a:noFill/>
                    </a:ln>
                  </pic:spPr>
                </pic:pic>
              </a:graphicData>
            </a:graphic>
          </wp:inline>
        </w:drawing>
      </w:r>
      <w:r w:rsidRPr="007363A6">
        <w:rPr>
          <w:rFonts w:ascii="Times New Roman" w:hAnsi="Times New Roman" w:cs="Times New Roman"/>
          <w:noProof/>
          <w:sz w:val="24"/>
          <w:szCs w:val="24"/>
        </w:rPr>
        <w:drawing>
          <wp:inline distT="0" distB="0" distL="0" distR="0" wp14:anchorId="12935E3E" wp14:editId="3A933D7A">
            <wp:extent cx="2438400" cy="2111463"/>
            <wp:effectExtent l="0" t="0" r="0" b="3175"/>
            <wp:docPr id="28" name="Picture 2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48993" cy="2120635"/>
                    </a:xfrm>
                    <a:prstGeom prst="rect">
                      <a:avLst/>
                    </a:prstGeom>
                    <a:noFill/>
                    <a:ln>
                      <a:noFill/>
                    </a:ln>
                  </pic:spPr>
                </pic:pic>
              </a:graphicData>
            </a:graphic>
          </wp:inline>
        </w:drawing>
      </w:r>
    </w:p>
    <w:p w14:paraId="51EB0A48" w14:textId="14924EBA" w:rsidR="00E75B2E" w:rsidRDefault="00E75B2E" w:rsidP="00193668">
      <w:pPr>
        <w:jc w:val="center"/>
      </w:pPr>
      <w:r>
        <w:t xml:space="preserve">Figure 2. </w:t>
      </w:r>
      <w:r w:rsidR="00A77B98">
        <w:t>Movement of</w:t>
      </w:r>
      <w:r w:rsidR="000E1399">
        <w:t xml:space="preserve"> charge carriers inside a solar cell</w:t>
      </w:r>
    </w:p>
    <w:p w14:paraId="4BE2EB25" w14:textId="2561463D" w:rsidR="009854B3" w:rsidRDefault="00E9616F" w:rsidP="00957600">
      <w:pPr>
        <w:spacing w:line="360" w:lineRule="auto"/>
        <w:rPr>
          <w:rFonts w:ascii="Times New Roman" w:hAnsi="Times New Roman" w:cs="Times New Roman"/>
          <w:sz w:val="24"/>
          <w:szCs w:val="24"/>
        </w:rPr>
      </w:pPr>
      <w:r>
        <w:lastRenderedPageBreak/>
        <w:tab/>
      </w:r>
      <w:r w:rsidRPr="00957600">
        <w:rPr>
          <w:rFonts w:ascii="Times New Roman" w:hAnsi="Times New Roman" w:cs="Times New Roman"/>
          <w:sz w:val="24"/>
          <w:szCs w:val="24"/>
        </w:rPr>
        <w:t xml:space="preserve">However, the electron-hole pair can only exist for a length of time equal to the minority carrier lifetime before they recombine. The distance that the pair can travel during its </w:t>
      </w:r>
      <w:proofErr w:type="gramStart"/>
      <w:r w:rsidRPr="00957600">
        <w:rPr>
          <w:rFonts w:ascii="Times New Roman" w:hAnsi="Times New Roman" w:cs="Times New Roman"/>
          <w:sz w:val="24"/>
          <w:szCs w:val="24"/>
        </w:rPr>
        <w:t>life time</w:t>
      </w:r>
      <w:proofErr w:type="gramEnd"/>
      <w:r w:rsidRPr="00957600">
        <w:rPr>
          <w:rFonts w:ascii="Times New Roman" w:hAnsi="Times New Roman" w:cs="Times New Roman"/>
          <w:sz w:val="24"/>
          <w:szCs w:val="24"/>
        </w:rPr>
        <w:t xml:space="preserve"> is the diffusion length. If the pair is generated somewhere not close to the depletion region (distance to interface &gt; diffusion length), the electron and the hole will recombine and thus provide no contribution to current generation.</w:t>
      </w:r>
      <w:r w:rsidR="00C95E6E">
        <w:rPr>
          <w:rFonts w:ascii="Times New Roman" w:hAnsi="Times New Roman" w:cs="Times New Roman"/>
          <w:sz w:val="24"/>
          <w:szCs w:val="24"/>
        </w:rPr>
        <w:t xml:space="preserve"> </w:t>
      </w:r>
      <w:r w:rsidR="00903E70">
        <w:rPr>
          <w:rFonts w:ascii="Times New Roman" w:hAnsi="Times New Roman" w:cs="Times New Roman"/>
          <w:sz w:val="24"/>
          <w:szCs w:val="24"/>
        </w:rPr>
        <w:t xml:space="preserve">Therefore, </w:t>
      </w:r>
      <w:r w:rsidR="005F28DF">
        <w:rPr>
          <w:rFonts w:ascii="Times New Roman" w:hAnsi="Times New Roman" w:cs="Times New Roman"/>
          <w:sz w:val="24"/>
          <w:szCs w:val="24"/>
        </w:rPr>
        <w:t xml:space="preserve">lowering </w:t>
      </w:r>
      <w:r w:rsidR="00621C48">
        <w:rPr>
          <w:rFonts w:ascii="Times New Roman" w:hAnsi="Times New Roman" w:cs="Times New Roman"/>
          <w:sz w:val="24"/>
          <w:szCs w:val="24"/>
        </w:rPr>
        <w:t xml:space="preserve">the chances for </w:t>
      </w:r>
      <w:r w:rsidR="00C23F7C">
        <w:rPr>
          <w:rFonts w:ascii="Times New Roman" w:hAnsi="Times New Roman" w:cs="Times New Roman"/>
          <w:sz w:val="24"/>
          <w:szCs w:val="24"/>
        </w:rPr>
        <w:t>recombination can effectively improve the efficiency.</w:t>
      </w:r>
    </w:p>
    <w:p w14:paraId="1FD05B84" w14:textId="1F102051" w:rsidR="008F5CD5" w:rsidRDefault="008F5CD5" w:rsidP="00957600">
      <w:pPr>
        <w:spacing w:line="360" w:lineRule="auto"/>
        <w:rPr>
          <w:rFonts w:ascii="Times New Roman" w:hAnsi="Times New Roman" w:cs="Times New Roman"/>
          <w:i/>
          <w:iCs/>
          <w:sz w:val="24"/>
          <w:szCs w:val="24"/>
        </w:rPr>
      </w:pPr>
      <w:r>
        <w:rPr>
          <w:rFonts w:ascii="Times New Roman" w:hAnsi="Times New Roman" w:cs="Times New Roman"/>
          <w:sz w:val="24"/>
          <w:szCs w:val="24"/>
        </w:rPr>
        <w:tab/>
      </w:r>
      <w:r w:rsidR="00B450C2">
        <w:rPr>
          <w:rFonts w:ascii="Times New Roman" w:hAnsi="Times New Roman" w:cs="Times New Roman"/>
          <w:i/>
          <w:iCs/>
          <w:sz w:val="24"/>
          <w:szCs w:val="24"/>
        </w:rPr>
        <w:t>Perovskite Solar cell</w:t>
      </w:r>
    </w:p>
    <w:p w14:paraId="48B4947F" w14:textId="177F2EEA" w:rsidR="005410E4" w:rsidRDefault="00BC4A0C" w:rsidP="0040095D">
      <w:pPr>
        <w:spacing w:line="360" w:lineRule="auto"/>
        <w:ind w:firstLine="720"/>
        <w:rPr>
          <w:rFonts w:ascii="Times New Roman" w:hAnsi="Times New Roman" w:cs="Times New Roman"/>
          <w:sz w:val="24"/>
          <w:szCs w:val="24"/>
        </w:rPr>
      </w:pPr>
      <w:r>
        <w:rPr>
          <w:rFonts w:ascii="Times New Roman" w:hAnsi="Times New Roman" w:cs="Times New Roman"/>
          <w:sz w:val="24"/>
          <w:szCs w:val="24"/>
        </w:rPr>
        <w:t>Perovskite solar cell</w:t>
      </w:r>
      <w:r w:rsidR="007A5DD5">
        <w:rPr>
          <w:rFonts w:ascii="Times New Roman" w:hAnsi="Times New Roman" w:cs="Times New Roman"/>
          <w:sz w:val="24"/>
          <w:szCs w:val="24"/>
        </w:rPr>
        <w:t xml:space="preserve"> uses Perovskite </w:t>
      </w:r>
      <w:r w:rsidR="003F2F18">
        <w:rPr>
          <w:rFonts w:ascii="Times New Roman" w:hAnsi="Times New Roman" w:cs="Times New Roman"/>
          <w:sz w:val="24"/>
          <w:szCs w:val="24"/>
        </w:rPr>
        <w:t xml:space="preserve">as the light absorbing material. </w:t>
      </w:r>
      <w:r w:rsidR="003A0DB4">
        <w:rPr>
          <w:rFonts w:ascii="Times New Roman" w:hAnsi="Times New Roman" w:cs="Times New Roman"/>
          <w:sz w:val="24"/>
          <w:szCs w:val="24"/>
        </w:rPr>
        <w:t>It has ABX3 crystal structure</w:t>
      </w:r>
      <w:r w:rsidR="00C76D22">
        <w:rPr>
          <w:rFonts w:ascii="Times New Roman" w:hAnsi="Times New Roman" w:cs="Times New Roman"/>
          <w:sz w:val="24"/>
          <w:szCs w:val="24"/>
        </w:rPr>
        <w:t xml:space="preserve">. </w:t>
      </w:r>
      <w:r w:rsidR="004E57D0">
        <w:rPr>
          <w:rFonts w:ascii="Times New Roman" w:hAnsi="Times New Roman" w:cs="Times New Roman"/>
          <w:sz w:val="24"/>
          <w:szCs w:val="24"/>
        </w:rPr>
        <w:t xml:space="preserve">Because perovskite has </w:t>
      </w:r>
      <w:r w:rsidR="000D5810">
        <w:rPr>
          <w:rFonts w:ascii="Times New Roman" w:hAnsi="Times New Roman" w:cs="Times New Roman"/>
          <w:sz w:val="24"/>
          <w:szCs w:val="24"/>
        </w:rPr>
        <w:t xml:space="preserve">relatively lower recombination rate and higher carrier mobility, </w:t>
      </w:r>
      <w:r w:rsidR="00B579C7">
        <w:rPr>
          <w:rFonts w:ascii="Times New Roman" w:hAnsi="Times New Roman" w:cs="Times New Roman"/>
          <w:sz w:val="24"/>
          <w:szCs w:val="24"/>
        </w:rPr>
        <w:t xml:space="preserve">its carrier diffusion length and carrier lifetime </w:t>
      </w:r>
      <w:proofErr w:type="gramStart"/>
      <w:r w:rsidR="00B579C7">
        <w:rPr>
          <w:rFonts w:ascii="Times New Roman" w:hAnsi="Times New Roman" w:cs="Times New Roman"/>
          <w:sz w:val="24"/>
          <w:szCs w:val="24"/>
        </w:rPr>
        <w:t>is</w:t>
      </w:r>
      <w:proofErr w:type="gramEnd"/>
      <w:r w:rsidR="00B579C7">
        <w:rPr>
          <w:rFonts w:ascii="Times New Roman" w:hAnsi="Times New Roman" w:cs="Times New Roman"/>
          <w:sz w:val="24"/>
          <w:szCs w:val="24"/>
        </w:rPr>
        <w:t xml:space="preserve"> </w:t>
      </w:r>
      <w:r w:rsidR="00BE2162">
        <w:rPr>
          <w:rFonts w:ascii="Times New Roman" w:hAnsi="Times New Roman" w:cs="Times New Roman"/>
          <w:sz w:val="24"/>
          <w:szCs w:val="24"/>
        </w:rPr>
        <w:t xml:space="preserve">thus longer, </w:t>
      </w:r>
      <w:r w:rsidR="00DA2501">
        <w:rPr>
          <w:rFonts w:ascii="Times New Roman" w:hAnsi="Times New Roman" w:cs="Times New Roman"/>
          <w:sz w:val="24"/>
          <w:szCs w:val="24"/>
        </w:rPr>
        <w:t>improving the</w:t>
      </w:r>
      <w:r w:rsidR="000C264A">
        <w:rPr>
          <w:rFonts w:ascii="Times New Roman" w:hAnsi="Times New Roman" w:cs="Times New Roman"/>
          <w:sz w:val="24"/>
          <w:szCs w:val="24"/>
        </w:rPr>
        <w:t xml:space="preserve"> solar cell efficiency. </w:t>
      </w:r>
      <w:r w:rsidR="00286D6F">
        <w:rPr>
          <w:rFonts w:ascii="Times New Roman" w:hAnsi="Times New Roman" w:cs="Times New Roman"/>
          <w:sz w:val="24"/>
          <w:szCs w:val="24"/>
        </w:rPr>
        <w:t xml:space="preserve">A complete perovskite solar cell should also </w:t>
      </w:r>
      <w:r w:rsidR="00585897">
        <w:rPr>
          <w:rFonts w:ascii="Times New Roman" w:hAnsi="Times New Roman" w:cs="Times New Roman"/>
          <w:sz w:val="24"/>
          <w:szCs w:val="24"/>
        </w:rPr>
        <w:t>have</w:t>
      </w:r>
      <w:r w:rsidR="002B38F5">
        <w:rPr>
          <w:rFonts w:ascii="Times New Roman" w:hAnsi="Times New Roman" w:cs="Times New Roman"/>
          <w:sz w:val="24"/>
          <w:szCs w:val="24"/>
        </w:rPr>
        <w:t xml:space="preserve"> HTL </w:t>
      </w:r>
      <w:r w:rsidR="00FF38A9">
        <w:rPr>
          <w:rFonts w:ascii="Times New Roman" w:hAnsi="Times New Roman" w:cs="Times New Roman"/>
          <w:sz w:val="24"/>
          <w:szCs w:val="24"/>
        </w:rPr>
        <w:t>(</w:t>
      </w:r>
      <w:r w:rsidR="001769C1">
        <w:rPr>
          <w:rFonts w:ascii="Times New Roman" w:hAnsi="Times New Roman" w:cs="Times New Roman"/>
          <w:sz w:val="24"/>
          <w:szCs w:val="24"/>
        </w:rPr>
        <w:t>hole transport layer) and ETL (electron transport layer)</w:t>
      </w:r>
      <w:r w:rsidR="0008618B">
        <w:rPr>
          <w:rFonts w:ascii="Times New Roman" w:hAnsi="Times New Roman" w:cs="Times New Roman"/>
          <w:sz w:val="24"/>
          <w:szCs w:val="24"/>
        </w:rPr>
        <w:t xml:space="preserve"> to </w:t>
      </w:r>
      <w:r w:rsidR="00080B57">
        <w:rPr>
          <w:rFonts w:ascii="Times New Roman" w:hAnsi="Times New Roman" w:cs="Times New Roman"/>
          <w:sz w:val="24"/>
          <w:szCs w:val="24"/>
        </w:rPr>
        <w:t xml:space="preserve">facilitate </w:t>
      </w:r>
      <w:r w:rsidR="00A75303">
        <w:rPr>
          <w:rFonts w:ascii="Times New Roman" w:hAnsi="Times New Roman" w:cs="Times New Roman"/>
          <w:sz w:val="24"/>
          <w:szCs w:val="24"/>
        </w:rPr>
        <w:t xml:space="preserve">the movement of carriers. </w:t>
      </w:r>
    </w:p>
    <w:p w14:paraId="1A36D619" w14:textId="22BAD5C1" w:rsidR="00E11B61" w:rsidRPr="00E11B61" w:rsidRDefault="00F855A2" w:rsidP="00E11B61">
      <w:pPr>
        <w:spacing w:line="360" w:lineRule="auto"/>
        <w:ind w:firstLine="720"/>
        <w:rPr>
          <w:rFonts w:ascii="Times New Roman" w:hAnsi="Times New Roman" w:cs="Times New Roman"/>
          <w:sz w:val="24"/>
          <w:szCs w:val="24"/>
        </w:rPr>
      </w:pPr>
      <w:r>
        <w:rPr>
          <w:rFonts w:ascii="Times New Roman" w:hAnsi="Times New Roman" w:cs="Times New Roman"/>
          <w:sz w:val="24"/>
          <w:szCs w:val="24"/>
        </w:rPr>
        <w:t>Perovskite</w:t>
      </w:r>
      <w:r w:rsidR="00E11B61" w:rsidRPr="00E11B61">
        <w:rPr>
          <w:rFonts w:ascii="Times New Roman" w:hAnsi="Times New Roman" w:cs="Times New Roman"/>
          <w:sz w:val="24"/>
          <w:szCs w:val="24"/>
        </w:rPr>
        <w:t xml:space="preserve">, as a synthetic material, has made a big splash since 2009 when it was first tried to be used in photovoltaic power generation because of its excellent performance, low </w:t>
      </w:r>
      <w:proofErr w:type="gramStart"/>
      <w:r w:rsidR="00E11B61" w:rsidRPr="00E11B61">
        <w:rPr>
          <w:rFonts w:ascii="Times New Roman" w:hAnsi="Times New Roman" w:cs="Times New Roman"/>
          <w:sz w:val="24"/>
          <w:szCs w:val="24"/>
        </w:rPr>
        <w:t>cost</w:t>
      </w:r>
      <w:proofErr w:type="gramEnd"/>
      <w:r w:rsidR="00E11B61" w:rsidRPr="00E11B61">
        <w:rPr>
          <w:rFonts w:ascii="Times New Roman" w:hAnsi="Times New Roman" w:cs="Times New Roman"/>
          <w:sz w:val="24"/>
          <w:szCs w:val="24"/>
        </w:rPr>
        <w:t xml:space="preserve"> and great commercial value. In recent years, the world's top research institutions and large multinational companies, such as Oxford University, Swiss Federal Institute of Technology Lausanne, Japan's Panasonic, Sharp, Toshiba, etc., have invested a lot of manpower and resources to strive for early mass production.</w:t>
      </w:r>
    </w:p>
    <w:p w14:paraId="44C02C36" w14:textId="59E39AA4" w:rsidR="00E11B61" w:rsidRPr="00E11B61" w:rsidRDefault="00E11B61" w:rsidP="00E11B61">
      <w:pPr>
        <w:spacing w:line="360" w:lineRule="auto"/>
        <w:ind w:firstLine="720"/>
        <w:rPr>
          <w:rFonts w:ascii="Times New Roman" w:hAnsi="Times New Roman" w:cs="Times New Roman"/>
          <w:sz w:val="24"/>
          <w:szCs w:val="24"/>
        </w:rPr>
      </w:pPr>
      <w:r w:rsidRPr="00E11B61">
        <w:rPr>
          <w:rFonts w:ascii="Times New Roman" w:hAnsi="Times New Roman" w:cs="Times New Roman"/>
          <w:sz w:val="24"/>
          <w:szCs w:val="24"/>
        </w:rPr>
        <w:t xml:space="preserve">In February 2017, </w:t>
      </w:r>
      <w:proofErr w:type="spellStart"/>
      <w:r w:rsidRPr="00E11B61">
        <w:rPr>
          <w:rFonts w:ascii="Times New Roman" w:hAnsi="Times New Roman" w:cs="Times New Roman"/>
          <w:sz w:val="24"/>
          <w:szCs w:val="24"/>
        </w:rPr>
        <w:t>Fibrina</w:t>
      </w:r>
      <w:proofErr w:type="spellEnd"/>
      <w:r w:rsidRPr="00E11B61">
        <w:rPr>
          <w:rFonts w:ascii="Times New Roman" w:hAnsi="Times New Roman" w:cs="Times New Roman"/>
          <w:sz w:val="24"/>
          <w:szCs w:val="24"/>
        </w:rPr>
        <w:t xml:space="preserve"> Optronics broke the world efficiency record of calcium-titanium ore panel with a conversion efficiency of 15.2% for the first time, which was previously held by Japan for a long time. After that, in May and December of that year, they broke the world record three times a year with 16% and 17.4% conversion </w:t>
      </w:r>
      <w:proofErr w:type="gramStart"/>
      <w:r w:rsidRPr="00E11B61">
        <w:rPr>
          <w:rFonts w:ascii="Times New Roman" w:hAnsi="Times New Roman" w:cs="Times New Roman"/>
          <w:sz w:val="24"/>
          <w:szCs w:val="24"/>
        </w:rPr>
        <w:t>efficiency</w:t>
      </w:r>
      <w:proofErr w:type="gramEnd"/>
      <w:r w:rsidRPr="00E11B61">
        <w:rPr>
          <w:rFonts w:ascii="Times New Roman" w:hAnsi="Times New Roman" w:cs="Times New Roman"/>
          <w:sz w:val="24"/>
          <w:szCs w:val="24"/>
        </w:rPr>
        <w:t xml:space="preserve"> respectively. This time, they increased the conversion efficiency of the </w:t>
      </w:r>
      <w:r w:rsidR="003A283E">
        <w:rPr>
          <w:rFonts w:ascii="Times New Roman" w:hAnsi="Times New Roman" w:cs="Times New Roman"/>
          <w:sz w:val="24"/>
          <w:szCs w:val="24"/>
        </w:rPr>
        <w:t>perovskite</w:t>
      </w:r>
      <w:r w:rsidRPr="00E11B61">
        <w:rPr>
          <w:rFonts w:ascii="Times New Roman" w:hAnsi="Times New Roman" w:cs="Times New Roman"/>
          <w:sz w:val="24"/>
          <w:szCs w:val="24"/>
        </w:rPr>
        <w:t xml:space="preserve"> module to 17.9%, with a steady-state output efficiency of 17.3%. The results once again demonstrate the technological leadership of Chinese scientists in the field of chalcogenide.</w:t>
      </w:r>
    </w:p>
    <w:p w14:paraId="7031F187" w14:textId="77777777" w:rsidR="00286D6F" w:rsidRPr="005410E4" w:rsidRDefault="00286D6F" w:rsidP="008E5F1C">
      <w:pPr>
        <w:spacing w:line="360" w:lineRule="auto"/>
      </w:pPr>
    </w:p>
    <w:sectPr w:rsidR="00286D6F" w:rsidRPr="005410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9C3"/>
    <w:rsid w:val="00017504"/>
    <w:rsid w:val="00022136"/>
    <w:rsid w:val="00036CAC"/>
    <w:rsid w:val="00080B57"/>
    <w:rsid w:val="0008618B"/>
    <w:rsid w:val="000C264A"/>
    <w:rsid w:val="000D5810"/>
    <w:rsid w:val="000E1399"/>
    <w:rsid w:val="00116BB8"/>
    <w:rsid w:val="001769C1"/>
    <w:rsid w:val="0018688C"/>
    <w:rsid w:val="00193668"/>
    <w:rsid w:val="0023467D"/>
    <w:rsid w:val="00242E33"/>
    <w:rsid w:val="00255430"/>
    <w:rsid w:val="002759C3"/>
    <w:rsid w:val="002859C1"/>
    <w:rsid w:val="00286D6F"/>
    <w:rsid w:val="002B38F5"/>
    <w:rsid w:val="002F626C"/>
    <w:rsid w:val="00342672"/>
    <w:rsid w:val="003606F9"/>
    <w:rsid w:val="003A0DB4"/>
    <w:rsid w:val="003A283E"/>
    <w:rsid w:val="003F2F18"/>
    <w:rsid w:val="0040095D"/>
    <w:rsid w:val="004E57D0"/>
    <w:rsid w:val="005410E4"/>
    <w:rsid w:val="0056508E"/>
    <w:rsid w:val="00585897"/>
    <w:rsid w:val="005D3021"/>
    <w:rsid w:val="005D5491"/>
    <w:rsid w:val="005F28DF"/>
    <w:rsid w:val="00616EE6"/>
    <w:rsid w:val="00621C48"/>
    <w:rsid w:val="006B18A4"/>
    <w:rsid w:val="007071A4"/>
    <w:rsid w:val="00722C86"/>
    <w:rsid w:val="007A5DD5"/>
    <w:rsid w:val="007D3C87"/>
    <w:rsid w:val="00824625"/>
    <w:rsid w:val="0086738D"/>
    <w:rsid w:val="008D482D"/>
    <w:rsid w:val="008E5F1C"/>
    <w:rsid w:val="008F5CD5"/>
    <w:rsid w:val="00903E70"/>
    <w:rsid w:val="0090416E"/>
    <w:rsid w:val="00923E08"/>
    <w:rsid w:val="00925FDC"/>
    <w:rsid w:val="00957600"/>
    <w:rsid w:val="009854B3"/>
    <w:rsid w:val="009A0175"/>
    <w:rsid w:val="00A35FFA"/>
    <w:rsid w:val="00A75303"/>
    <w:rsid w:val="00A77B98"/>
    <w:rsid w:val="00B450C2"/>
    <w:rsid w:val="00B579C7"/>
    <w:rsid w:val="00B610BE"/>
    <w:rsid w:val="00BC2776"/>
    <w:rsid w:val="00BC4A0C"/>
    <w:rsid w:val="00BE2162"/>
    <w:rsid w:val="00C23F7C"/>
    <w:rsid w:val="00C356A6"/>
    <w:rsid w:val="00C76D22"/>
    <w:rsid w:val="00C801FC"/>
    <w:rsid w:val="00C95E6E"/>
    <w:rsid w:val="00CD2280"/>
    <w:rsid w:val="00CE6739"/>
    <w:rsid w:val="00D11EE1"/>
    <w:rsid w:val="00D72FB4"/>
    <w:rsid w:val="00DA2501"/>
    <w:rsid w:val="00DD5606"/>
    <w:rsid w:val="00DF45A7"/>
    <w:rsid w:val="00E11B61"/>
    <w:rsid w:val="00E75B2E"/>
    <w:rsid w:val="00E87BE7"/>
    <w:rsid w:val="00E9616F"/>
    <w:rsid w:val="00F65276"/>
    <w:rsid w:val="00F855A2"/>
    <w:rsid w:val="00FF38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ADC3E"/>
  <w15:chartTrackingRefBased/>
  <w15:docId w15:val="{6214180D-E811-45A1-96FC-936E8098E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8688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2607</Characters>
  <Application>Microsoft Office Word</Application>
  <DocSecurity>0</DocSecurity>
  <Lines>21</Lines>
  <Paragraphs>6</Paragraphs>
  <ScaleCrop>false</ScaleCrop>
  <Company/>
  <LinksUpToDate>false</LinksUpToDate>
  <CharactersWithSpaces>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Xu</dc:creator>
  <cp:keywords/>
  <dc:description/>
  <cp:lastModifiedBy>john song</cp:lastModifiedBy>
  <cp:revision>2</cp:revision>
  <dcterms:created xsi:type="dcterms:W3CDTF">2021-07-09T12:17:00Z</dcterms:created>
  <dcterms:modified xsi:type="dcterms:W3CDTF">2021-07-09T12:17:00Z</dcterms:modified>
</cp:coreProperties>
</file>